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numPr>
          <w:ilvl w:val="0"/>
          <w:numId w:val="0"/>
        </w:numPr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cstheme="minorBidi"/>
          <w:b/>
          <w:bCs/>
          <w:kern w:val="2"/>
          <w:sz w:val="24"/>
          <w:szCs w:val="24"/>
          <w:u w:val="single"/>
          <w:lang w:val="en-US" w:eastAsia="zh-CN" w:bidi="ar-SA"/>
        </w:rPr>
        <w:t>邹城恒益热力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u w:val="single"/>
          <w:lang w:val="en-US" w:eastAsia="zh-CN" w:bidi="ar-SA"/>
        </w:rPr>
        <w:t>有限公司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生产安全事故应急预案修订、</w:t>
      </w:r>
      <w:bookmarkStart w:id="0" w:name="_GoBack"/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评审</w:t>
      </w:r>
      <w:bookmarkEnd w:id="0"/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3176A449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207C1D18"/>
    <w:rsid w:val="44801C3A"/>
    <w:rsid w:val="45700F38"/>
    <w:rsid w:val="51EB3480"/>
    <w:rsid w:val="58672EF6"/>
    <w:rsid w:val="5FFF3132"/>
    <w:rsid w:val="650F6997"/>
    <w:rsid w:val="68A82B95"/>
    <w:rsid w:val="6CBE7C6A"/>
    <w:rsid w:val="76E81899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